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1B0AF" w14:textId="6F5DC5F2" w:rsidR="00A8119A" w:rsidRPr="00A8119A" w:rsidRDefault="00A8119A" w:rsidP="00A8119A">
      <w:pPr>
        <w:spacing w:after="120"/>
        <w:ind w:left="1985" w:hanging="1985"/>
        <w:jc w:val="both"/>
        <w:rPr>
          <w:rFonts w:ascii="Arial" w:eastAsia="SimSun" w:hAnsi="Arial" w:cs="Arial"/>
          <w:b/>
          <w:sz w:val="24"/>
          <w:szCs w:val="24"/>
          <w:lang w:val="en-US"/>
        </w:rPr>
      </w:pPr>
      <w:r w:rsidRPr="00A8119A">
        <w:rPr>
          <w:rFonts w:ascii="Arial" w:eastAsia="SimSun" w:hAnsi="Arial" w:cs="Arial"/>
          <w:b/>
          <w:sz w:val="24"/>
          <w:szCs w:val="24"/>
          <w:lang w:val="en-US"/>
        </w:rPr>
        <w:t>3GPP TSG-RAN WG4 Meeting #114</w:t>
      </w:r>
      <w:r w:rsidRPr="00A8119A">
        <w:rPr>
          <w:rFonts w:ascii="Arial" w:eastAsia="SimSun" w:hAnsi="Arial" w:cs="Arial"/>
          <w:b/>
          <w:sz w:val="24"/>
          <w:szCs w:val="24"/>
          <w:lang w:val="en-US"/>
        </w:rPr>
        <w:tab/>
      </w:r>
      <w:r w:rsidRPr="00A8119A">
        <w:rPr>
          <w:rFonts w:ascii="Arial" w:eastAsia="SimSun" w:hAnsi="Arial" w:cs="Arial"/>
          <w:b/>
          <w:sz w:val="24"/>
          <w:szCs w:val="24"/>
          <w:lang w:val="en-US"/>
        </w:rPr>
        <w:tab/>
      </w:r>
      <w:r w:rsidR="00F245CD">
        <w:rPr>
          <w:rFonts w:ascii="Arial" w:eastAsia="SimSun" w:hAnsi="Arial" w:cs="Arial"/>
          <w:b/>
          <w:sz w:val="24"/>
          <w:szCs w:val="24"/>
          <w:lang w:val="en-US"/>
        </w:rPr>
        <w:t xml:space="preserve">                 </w:t>
      </w:r>
      <w:r w:rsidR="00F245CD" w:rsidRPr="00F245CD">
        <w:rPr>
          <w:rFonts w:ascii="Arial" w:eastAsia="SimSun" w:hAnsi="Arial" w:cs="Arial"/>
          <w:b/>
          <w:sz w:val="24"/>
          <w:szCs w:val="24"/>
          <w:lang w:val="en-US"/>
        </w:rPr>
        <w:t>R4-2501158</w:t>
      </w:r>
    </w:p>
    <w:p w14:paraId="5B183C1E" w14:textId="77777777" w:rsidR="00A8119A" w:rsidRDefault="00A8119A" w:rsidP="00A8119A">
      <w:pPr>
        <w:spacing w:after="120"/>
        <w:ind w:left="1985" w:hanging="1985"/>
        <w:jc w:val="both"/>
        <w:rPr>
          <w:rFonts w:ascii="Arial" w:eastAsia="SimSun" w:hAnsi="Arial" w:cs="Arial"/>
          <w:b/>
          <w:sz w:val="24"/>
          <w:szCs w:val="24"/>
          <w:lang w:val="en-US"/>
        </w:rPr>
      </w:pPr>
      <w:r w:rsidRPr="00A8119A">
        <w:rPr>
          <w:rFonts w:ascii="Arial" w:eastAsia="SimSun" w:hAnsi="Arial" w:cs="Arial"/>
          <w:b/>
          <w:sz w:val="24"/>
          <w:szCs w:val="24"/>
          <w:lang w:val="en-US"/>
        </w:rPr>
        <w:t xml:space="preserve">Athens, GR, 17th – 21st </w:t>
      </w:r>
      <w:proofErr w:type="gramStart"/>
      <w:r w:rsidRPr="00A8119A">
        <w:rPr>
          <w:rFonts w:ascii="Arial" w:eastAsia="SimSun" w:hAnsi="Arial" w:cs="Arial"/>
          <w:b/>
          <w:sz w:val="24"/>
          <w:szCs w:val="24"/>
          <w:lang w:val="en-US"/>
        </w:rPr>
        <w:t>February,</w:t>
      </w:r>
      <w:proofErr w:type="gramEnd"/>
      <w:r w:rsidRPr="00A8119A">
        <w:rPr>
          <w:rFonts w:ascii="Arial" w:eastAsia="SimSun" w:hAnsi="Arial" w:cs="Arial"/>
          <w:b/>
          <w:sz w:val="24"/>
          <w:szCs w:val="24"/>
          <w:lang w:val="en-US"/>
        </w:rPr>
        <w:t xml:space="preserve"> 2025</w:t>
      </w:r>
    </w:p>
    <w:p w14:paraId="3BD1F4FD" w14:textId="7E2B3835" w:rsidR="0065781A" w:rsidRPr="00067882" w:rsidRDefault="0065781A" w:rsidP="00A8119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ABCB098"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6F1BDF">
        <w:rPr>
          <w:rFonts w:ascii="Arial" w:hAnsi="Arial" w:cs="Arial"/>
          <w:sz w:val="21"/>
          <w:szCs w:val="21"/>
          <w:lang w:val="en-US"/>
        </w:rPr>
        <w:t>REFSENS</w:t>
      </w:r>
      <w:r w:rsidR="005E0B85">
        <w:rPr>
          <w:rFonts w:ascii="Arial" w:hAnsi="Arial" w:cs="Arial"/>
          <w:sz w:val="21"/>
          <w:szCs w:val="21"/>
          <w:lang w:val="en-US"/>
        </w:rPr>
        <w:t xml:space="preserve"> for NTN Redcap and </w:t>
      </w:r>
      <w:proofErr w:type="spellStart"/>
      <w:r w:rsidR="005E0B85">
        <w:rPr>
          <w:rFonts w:ascii="Arial" w:hAnsi="Arial" w:cs="Arial"/>
          <w:sz w:val="21"/>
          <w:szCs w:val="21"/>
          <w:lang w:val="en-US"/>
        </w:rPr>
        <w:t>eR</w:t>
      </w:r>
      <w:r w:rsidR="00CD687E">
        <w:rPr>
          <w:rFonts w:ascii="Arial" w:hAnsi="Arial" w:cs="Arial"/>
          <w:sz w:val="21"/>
          <w:szCs w:val="21"/>
          <w:lang w:val="en-US"/>
        </w:rPr>
        <w:t>edcap</w:t>
      </w:r>
      <w:proofErr w:type="spellEnd"/>
    </w:p>
    <w:p w14:paraId="0966AF7D" w14:textId="5A43212B"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A53F43">
        <w:rPr>
          <w:rFonts w:ascii="Arial" w:hAnsi="Arial" w:cs="Arial"/>
          <w:lang w:val="en-SE"/>
        </w:rPr>
        <w:t>7</w:t>
      </w:r>
      <w:r w:rsidR="00566604">
        <w:rPr>
          <w:rFonts w:ascii="Arial" w:hAnsi="Arial" w:cs="Arial"/>
          <w:lang w:val="en-SE"/>
        </w:rPr>
        <w:t>.2</w:t>
      </w:r>
      <w:r w:rsidR="006A014E">
        <w:rPr>
          <w:rFonts w:ascii="Arial" w:hAnsi="Arial" w:cs="Arial"/>
          <w:lang w:val="en-SE"/>
        </w:rPr>
        <w:t>9</w:t>
      </w:r>
      <w:r w:rsidR="00566604">
        <w:rPr>
          <w:rFonts w:ascii="Arial" w:hAnsi="Arial" w:cs="Arial"/>
          <w:lang w:val="en-SE"/>
        </w:rPr>
        <w:t>.2</w:t>
      </w:r>
      <w:r w:rsidR="00C41EBF">
        <w:rPr>
          <w:rFonts w:ascii="Arial" w:hAnsi="Arial" w:cs="Arial"/>
          <w:lang w:val="en-SE"/>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C84DFC1" w14:textId="31B6C8C8" w:rsidR="0065781A" w:rsidRPr="001A5E40" w:rsidRDefault="006F1BDF" w:rsidP="00212D68">
      <w:pPr>
        <w:pStyle w:val="BodyText"/>
        <w:jc w:val="both"/>
        <w:rPr>
          <w:rFonts w:eastAsia="SimSun"/>
          <w:szCs w:val="24"/>
        </w:rPr>
      </w:pPr>
      <w:r>
        <w:rPr>
          <w:lang w:val="en-US"/>
        </w:rPr>
        <w:t xml:space="preserve">The remaining RF requirement of NTN Redcap and </w:t>
      </w:r>
      <w:proofErr w:type="spellStart"/>
      <w:r>
        <w:rPr>
          <w:lang w:val="en-US"/>
        </w:rPr>
        <w:t>eRedcap</w:t>
      </w:r>
      <w:proofErr w:type="spellEnd"/>
      <w:r>
        <w:rPr>
          <w:lang w:val="en-US"/>
        </w:rPr>
        <w:t xml:space="preserve"> </w:t>
      </w:r>
      <w:r w:rsidR="008468B5">
        <w:rPr>
          <w:lang w:val="en-US"/>
        </w:rPr>
        <w:t xml:space="preserve">is on the REFSENS </w:t>
      </w:r>
      <w:r w:rsidR="0009681B">
        <w:rPr>
          <w:lang w:val="en-SE"/>
        </w:rPr>
        <w:t xml:space="preserve">on n254 and n256 after the </w:t>
      </w:r>
      <w:r w:rsidR="00B83D34">
        <w:rPr>
          <w:lang w:val="en-SE"/>
        </w:rPr>
        <w:t xml:space="preserve">RAN4#113 [1]. In this paper, we reiterate our proposal on the REFNSES values that is feasible for those two bands. </w:t>
      </w:r>
    </w:p>
    <w:p w14:paraId="50589FE4" w14:textId="77777777" w:rsidR="00212D68" w:rsidRPr="00540357" w:rsidRDefault="00212D68" w:rsidP="00212D68">
      <w:pPr>
        <w:pBdr>
          <w:bottom w:val="single" w:sz="4" w:space="0" w:color="auto"/>
        </w:pBdr>
        <w:jc w:val="both"/>
        <w:rPr>
          <w:rFonts w:ascii="Arial" w:hAnsi="Arial" w:cs="Arial"/>
          <w:lang w:val="en-US"/>
        </w:rPr>
      </w:pPr>
    </w:p>
    <w:p w14:paraId="5B7A50DC" w14:textId="17C6AF4C" w:rsidR="006F2E5C" w:rsidRPr="00D907DB" w:rsidRDefault="00AF301F" w:rsidP="00D907DB">
      <w:pPr>
        <w:pStyle w:val="Heading1"/>
        <w:numPr>
          <w:ilvl w:val="0"/>
          <w:numId w:val="2"/>
        </w:numPr>
        <w:tabs>
          <w:tab w:val="num" w:pos="576"/>
        </w:tabs>
        <w:rPr>
          <w:b w:val="0"/>
          <w:lang w:val="en-US"/>
        </w:rPr>
      </w:pPr>
      <w:r>
        <w:rPr>
          <w:b w:val="0"/>
          <w:lang w:val="en-SE"/>
        </w:rPr>
        <w:t>REFSENS for HD-FDD</w:t>
      </w:r>
      <w:r w:rsidRPr="00D907DB">
        <w:rPr>
          <w:b w:val="0"/>
          <w:lang w:val="en-US"/>
        </w:rPr>
        <w:t xml:space="preserve"> </w:t>
      </w:r>
    </w:p>
    <w:p w14:paraId="72747131" w14:textId="462DFCD2" w:rsidR="002D66E9" w:rsidRDefault="00225D84" w:rsidP="00652ADC">
      <w:pPr>
        <w:pStyle w:val="BodyText"/>
        <w:jc w:val="both"/>
        <w:rPr>
          <w:lang w:val="en-US"/>
        </w:rPr>
      </w:pPr>
      <w:r>
        <w:rPr>
          <w:lang w:val="en-US"/>
        </w:rPr>
        <w:t xml:space="preserve">In RAN4#112, it has been agreed that </w:t>
      </w:r>
      <w:r w:rsidR="00781381">
        <w:rPr>
          <w:lang w:val="en-US"/>
        </w:rPr>
        <w:t xml:space="preserve">a </w:t>
      </w:r>
      <w:r w:rsidR="00110493">
        <w:rPr>
          <w:lang w:val="en-US"/>
        </w:rPr>
        <w:t xml:space="preserve">0.5 dB tightening factor is </w:t>
      </w:r>
      <w:r w:rsidR="00334F7C">
        <w:rPr>
          <w:lang w:val="en-US"/>
        </w:rPr>
        <w:t>adopted</w:t>
      </w:r>
      <w:r w:rsidR="00110493">
        <w:rPr>
          <w:lang w:val="en-US"/>
        </w:rPr>
        <w:t xml:space="preserve"> for n256</w:t>
      </w:r>
      <w:r w:rsidR="00334F7C">
        <w:rPr>
          <w:lang w:val="en-US"/>
        </w:rPr>
        <w:t xml:space="preserve"> for HD-FDD operation, which results</w:t>
      </w:r>
      <w:r w:rsidR="00781381">
        <w:rPr>
          <w:lang w:val="en-US"/>
        </w:rPr>
        <w:t xml:space="preserve"> in</w:t>
      </w:r>
      <w:r w:rsidR="00334F7C">
        <w:rPr>
          <w:lang w:val="en-US"/>
        </w:rPr>
        <w:t xml:space="preserve"> the </w:t>
      </w:r>
      <w:r w:rsidR="002D66E9">
        <w:rPr>
          <w:lang w:val="en-US"/>
        </w:rPr>
        <w:t>REFSENS for 5MHz becom</w:t>
      </w:r>
      <w:r w:rsidR="00781381">
        <w:rPr>
          <w:lang w:val="en-US"/>
        </w:rPr>
        <w:t>ing</w:t>
      </w:r>
      <w:r w:rsidR="002D66E9">
        <w:rPr>
          <w:lang w:val="en-US"/>
        </w:rPr>
        <w:t xml:space="preserve"> -100 dBm for HD-FDD, and it aligns with the principle of how we derived the TN Redcap REFSENS. </w:t>
      </w:r>
      <w:r>
        <w:rPr>
          <w:lang w:val="en-US"/>
        </w:rPr>
        <w:t xml:space="preserve"> </w:t>
      </w:r>
    </w:p>
    <w:p w14:paraId="6AF6FAEE" w14:textId="6D48E95D" w:rsidR="00F3590C" w:rsidRPr="00F3590C" w:rsidRDefault="002D66E9" w:rsidP="00652ADC">
      <w:pPr>
        <w:pStyle w:val="BodyText"/>
        <w:jc w:val="both"/>
        <w:rPr>
          <w:i/>
          <w:iCs/>
          <w:lang w:val="en-SE"/>
        </w:rPr>
      </w:pPr>
      <w:r>
        <w:rPr>
          <w:lang w:val="en-US"/>
        </w:rPr>
        <w:t xml:space="preserve">In addition, </w:t>
      </w:r>
      <w:r w:rsidR="00833DC4" w:rsidRPr="00D907DB">
        <w:rPr>
          <w:lang w:val="en-US"/>
        </w:rPr>
        <w:t>In RAN4</w:t>
      </w:r>
      <w:r w:rsidR="00454B11" w:rsidRPr="00D907DB">
        <w:rPr>
          <w:lang w:val="en-US"/>
        </w:rPr>
        <w:t xml:space="preserve">#111, it has </w:t>
      </w:r>
      <w:r w:rsidR="006D1D77">
        <w:rPr>
          <w:lang w:val="en-US"/>
        </w:rPr>
        <w:t xml:space="preserve">also been </w:t>
      </w:r>
      <w:r w:rsidR="00AF301F" w:rsidRPr="00D907DB">
        <w:rPr>
          <w:lang w:val="en-US"/>
        </w:rPr>
        <w:t>agreed</w:t>
      </w:r>
      <w:r w:rsidR="00F3590C">
        <w:rPr>
          <w:lang w:val="en-SE"/>
        </w:rPr>
        <w:t>:</w:t>
      </w:r>
    </w:p>
    <w:p w14:paraId="6BE2C8F9" w14:textId="2098A220" w:rsidR="00962CE0" w:rsidRPr="00EB157B" w:rsidRDefault="00AF301F" w:rsidP="00652ADC">
      <w:pPr>
        <w:pStyle w:val="BodyText"/>
        <w:numPr>
          <w:ilvl w:val="0"/>
          <w:numId w:val="17"/>
        </w:numPr>
        <w:jc w:val="both"/>
        <w:rPr>
          <w:i/>
          <w:iCs/>
          <w:highlight w:val="green"/>
          <w:lang w:val="en-US"/>
        </w:rPr>
      </w:pPr>
      <w:r w:rsidRPr="00EB157B">
        <w:rPr>
          <w:i/>
          <w:iCs/>
          <w:highlight w:val="green"/>
          <w:lang w:val="en-US"/>
        </w:rPr>
        <w:t xml:space="preserve">[0.5] dB tightening for n254 and n256, FFS for n255. n256 to be confirmed in RAN4#112. </w:t>
      </w:r>
    </w:p>
    <w:p w14:paraId="4CBCB752" w14:textId="0CE034E4" w:rsidR="00962CE0" w:rsidRPr="00536093" w:rsidRDefault="00962CE0" w:rsidP="00652ADC">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sidR="00AF1800">
        <w:rPr>
          <w:b/>
          <w:bCs/>
          <w:lang w:val="en-SE"/>
        </w:rPr>
        <w:t>Tentative</w:t>
      </w:r>
      <w:r>
        <w:rPr>
          <w:b/>
          <w:bCs/>
          <w:lang w:val="en-SE"/>
        </w:rPr>
        <w:t xml:space="preserve"> agreement has been made in RAN4#111 </w:t>
      </w:r>
      <w:r w:rsidR="00AF1800">
        <w:rPr>
          <w:b/>
          <w:bCs/>
          <w:lang w:val="en-SE"/>
        </w:rPr>
        <w:t xml:space="preserve">on the REFSENS of n254 </w:t>
      </w:r>
      <w:r w:rsidR="00536093">
        <w:rPr>
          <w:b/>
          <w:bCs/>
          <w:lang w:val="en-SE"/>
        </w:rPr>
        <w:t xml:space="preserve">with </w:t>
      </w:r>
      <w:r w:rsidR="00536093" w:rsidRPr="00536093">
        <w:rPr>
          <w:b/>
          <w:bCs/>
          <w:lang w:val="en-SE"/>
        </w:rPr>
        <w:t>0.5 dB tightening</w:t>
      </w:r>
      <w:r w:rsidR="00536093">
        <w:rPr>
          <w:b/>
          <w:bCs/>
          <w:lang w:val="en-SE"/>
        </w:rPr>
        <w:t>.</w:t>
      </w:r>
    </w:p>
    <w:p w14:paraId="4950E452" w14:textId="153B05CD" w:rsidR="00B72B2E" w:rsidRPr="000526E2" w:rsidRDefault="0040446E" w:rsidP="00652ADC">
      <w:pPr>
        <w:pStyle w:val="BodyText"/>
        <w:jc w:val="both"/>
        <w:rPr>
          <w:lang w:val="en-US"/>
        </w:rPr>
      </w:pPr>
      <w:r>
        <w:rPr>
          <w:lang w:val="en-SE"/>
        </w:rPr>
        <w:t xml:space="preserve">The 0.5 dB </w:t>
      </w:r>
      <w:r w:rsidR="008E3285">
        <w:rPr>
          <w:lang w:val="en-SE"/>
        </w:rPr>
        <w:t xml:space="preserve">tightening on n254 and n256 followed the same principle </w:t>
      </w:r>
      <w:r w:rsidR="00C24807">
        <w:rPr>
          <w:lang w:val="en-SE"/>
        </w:rPr>
        <w:t>as in the TN case</w:t>
      </w:r>
      <w:r w:rsidR="00E940D1">
        <w:rPr>
          <w:lang w:val="en-SE"/>
        </w:rPr>
        <w:t>,</w:t>
      </w:r>
      <w:r w:rsidR="00C24807">
        <w:rPr>
          <w:lang w:val="en-SE"/>
        </w:rPr>
        <w:t xml:space="preserve"> which </w:t>
      </w:r>
      <w:r w:rsidR="00E940D1">
        <w:rPr>
          <w:lang w:val="en-SE"/>
        </w:rPr>
        <w:t>wa</w:t>
      </w:r>
      <w:r w:rsidR="00C24807">
        <w:rPr>
          <w:lang w:val="en-SE"/>
        </w:rPr>
        <w:t>s originally proposed in [</w:t>
      </w:r>
      <w:r w:rsidR="00EB157B">
        <w:rPr>
          <w:lang w:val="en-SE"/>
        </w:rPr>
        <w:t>2</w:t>
      </w:r>
      <w:r w:rsidR="00C24807">
        <w:rPr>
          <w:lang w:val="en-SE"/>
        </w:rPr>
        <w:t>]</w:t>
      </w:r>
      <w:r w:rsidR="00F74870">
        <w:rPr>
          <w:lang w:val="en-SE"/>
        </w:rPr>
        <w:t xml:space="preserve">, </w:t>
      </w:r>
      <w:r w:rsidR="0082482B">
        <w:rPr>
          <w:lang w:val="en-SE"/>
        </w:rPr>
        <w:t xml:space="preserve">and </w:t>
      </w:r>
      <w:r w:rsidR="004E5254">
        <w:rPr>
          <w:lang w:val="en-SE"/>
        </w:rPr>
        <w:t>the principle</w:t>
      </w:r>
      <w:r w:rsidR="0082482B">
        <w:rPr>
          <w:lang w:val="en-SE"/>
        </w:rPr>
        <w:t xml:space="preserve"> </w:t>
      </w:r>
      <w:r w:rsidR="00F74870">
        <w:rPr>
          <w:lang w:val="en-SE"/>
        </w:rPr>
        <w:t xml:space="preserve">is summarized in the table below: </w:t>
      </w: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F245CD"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AF638C" w:rsidRDefault="003C1DC2" w:rsidP="00372E0F">
            <w:pPr>
              <w:pStyle w:val="BodyText"/>
              <w:rPr>
                <w:lang w:val="pt-BR"/>
              </w:rPr>
            </w:pPr>
            <w:r w:rsidRPr="00AF638C">
              <w:rPr>
                <w:lang w:val="pt-BR"/>
              </w:rPr>
              <w:t>n2, n3, n5, n7, n8, n12, n13, n14, n20, n25, n26, n28, n71, n85</w:t>
            </w:r>
          </w:p>
        </w:tc>
      </w:tr>
    </w:tbl>
    <w:p w14:paraId="0B43D266" w14:textId="77777777" w:rsidR="00DC16F7" w:rsidRPr="00F53D3A" w:rsidRDefault="00DC16F7" w:rsidP="00DC16F7">
      <w:pPr>
        <w:pStyle w:val="BodyText"/>
        <w:rPr>
          <w:lang w:val="pt-BR"/>
        </w:rPr>
      </w:pPr>
    </w:p>
    <w:p w14:paraId="43E2494D" w14:textId="083D655F" w:rsidR="00ED5699" w:rsidRDefault="009D2D9E" w:rsidP="00652ADC">
      <w:pPr>
        <w:pStyle w:val="BodyText"/>
        <w:jc w:val="both"/>
        <w:rPr>
          <w:lang w:val="en-SE"/>
        </w:rPr>
      </w:pPr>
      <w:r>
        <w:rPr>
          <w:lang w:val="en-SE"/>
        </w:rPr>
        <w:t>In our</w:t>
      </w:r>
      <w:r w:rsidR="004E5254">
        <w:rPr>
          <w:lang w:val="en-SE"/>
        </w:rPr>
        <w:t xml:space="preserve"> view</w:t>
      </w:r>
      <w:r>
        <w:rPr>
          <w:lang w:val="en-SE"/>
        </w:rPr>
        <w:t xml:space="preserve">, </w:t>
      </w:r>
      <w:r w:rsidR="00781381">
        <w:rPr>
          <w:lang w:val="en-SE"/>
        </w:rPr>
        <w:t>the same approach should</w:t>
      </w:r>
      <w:r>
        <w:rPr>
          <w:lang w:val="en-SE"/>
        </w:rPr>
        <w:t xml:space="preserve"> be taken as in the TN case </w:t>
      </w:r>
      <w:r w:rsidR="008B4588">
        <w:rPr>
          <w:lang w:val="en-SE"/>
        </w:rPr>
        <w:t>so that the</w:t>
      </w:r>
      <w:r w:rsidR="009524FE">
        <w:rPr>
          <w:lang w:val="en-SE"/>
        </w:rPr>
        <w:t xml:space="preserve"> RF front end of TN Redcap and NTN Redcap can be largely reused </w:t>
      </w:r>
      <w:r w:rsidR="008B4588">
        <w:rPr>
          <w:lang w:val="en-SE"/>
        </w:rPr>
        <w:t xml:space="preserve">to </w:t>
      </w:r>
      <w:r w:rsidR="00EE4FF9">
        <w:rPr>
          <w:lang w:val="en-SE"/>
        </w:rPr>
        <w:t xml:space="preserve">facilitate </w:t>
      </w:r>
      <w:r w:rsidR="00E940D1">
        <w:rPr>
          <w:lang w:val="en-SE"/>
        </w:rPr>
        <w:t xml:space="preserve">the </w:t>
      </w:r>
      <w:r w:rsidR="002A53A6">
        <w:rPr>
          <w:lang w:val="en-SE"/>
        </w:rPr>
        <w:t xml:space="preserve">cost and </w:t>
      </w:r>
      <w:r w:rsidR="00BA49B0">
        <w:rPr>
          <w:lang w:val="en-SE"/>
        </w:rPr>
        <w:t>time-to-market</w:t>
      </w:r>
      <w:r w:rsidR="00EE4FF9">
        <w:rPr>
          <w:lang w:val="en-SE"/>
        </w:rPr>
        <w:t xml:space="preserve"> of Redcap</w:t>
      </w:r>
      <w:r w:rsidR="002A53A6">
        <w:rPr>
          <w:lang w:val="en-SE"/>
        </w:rPr>
        <w:t>/</w:t>
      </w:r>
      <w:proofErr w:type="spellStart"/>
      <w:r w:rsidR="002A53A6">
        <w:rPr>
          <w:lang w:val="en-SE"/>
        </w:rPr>
        <w:t>eRedcap</w:t>
      </w:r>
      <w:proofErr w:type="spellEnd"/>
      <w:r w:rsidR="00EE4FF9">
        <w:rPr>
          <w:lang w:val="en-SE"/>
        </w:rPr>
        <w:t xml:space="preserve"> NTN </w:t>
      </w:r>
      <w:r w:rsidR="00DD3A12">
        <w:rPr>
          <w:lang w:val="en-SE"/>
        </w:rPr>
        <w:t>system</w:t>
      </w:r>
      <w:r w:rsidR="00ED5699">
        <w:rPr>
          <w:lang w:val="en-SE"/>
        </w:rPr>
        <w:t xml:space="preserve">. </w:t>
      </w:r>
    </w:p>
    <w:p w14:paraId="3D6B6CF8" w14:textId="0F2CBB92" w:rsidR="007A07A5" w:rsidRPr="00D907DB" w:rsidRDefault="00ED5699" w:rsidP="007A07A5">
      <w:pPr>
        <w:pStyle w:val="BodyText"/>
        <w:jc w:val="both"/>
        <w:rPr>
          <w:b/>
          <w:bCs/>
          <w:lang w:val="en-SE"/>
        </w:rPr>
      </w:pPr>
      <w:r w:rsidRPr="00D907DB">
        <w:rPr>
          <w:b/>
          <w:bCs/>
          <w:lang w:val="en-SE"/>
        </w:rPr>
        <w:t>Observation</w:t>
      </w:r>
      <w:r w:rsidR="007A07A5">
        <w:rPr>
          <w:b/>
          <w:bCs/>
          <w:lang w:val="en-SE"/>
        </w:rPr>
        <w:t xml:space="preserve"> </w:t>
      </w:r>
      <w:r w:rsidR="006559CE">
        <w:rPr>
          <w:b/>
          <w:bCs/>
          <w:lang w:val="en-SE"/>
        </w:rPr>
        <w:t>2</w:t>
      </w:r>
      <w:r w:rsidRPr="00D907DB">
        <w:rPr>
          <w:b/>
          <w:bCs/>
          <w:lang w:val="en-SE"/>
        </w:rPr>
        <w:t xml:space="preserve">: </w:t>
      </w:r>
      <w:r w:rsidR="002A53A6">
        <w:rPr>
          <w:b/>
          <w:bCs/>
          <w:lang w:val="en-SE"/>
        </w:rPr>
        <w:t>A</w:t>
      </w:r>
      <w:r w:rsidRPr="00D907DB">
        <w:rPr>
          <w:b/>
          <w:bCs/>
          <w:lang w:val="en-SE"/>
        </w:rPr>
        <w:t xml:space="preserve">dopting the same principle </w:t>
      </w:r>
      <w:r w:rsidR="00E940D1">
        <w:rPr>
          <w:b/>
          <w:bCs/>
          <w:lang w:val="en-SE"/>
        </w:rPr>
        <w:t>i</w:t>
      </w:r>
      <w:r w:rsidRPr="00D907DB">
        <w:rPr>
          <w:b/>
          <w:bCs/>
          <w:lang w:val="en-SE"/>
        </w:rPr>
        <w:t xml:space="preserve">n defining the TN </w:t>
      </w:r>
      <w:r w:rsidR="00F261D8" w:rsidRPr="00D907DB">
        <w:rPr>
          <w:b/>
          <w:bCs/>
          <w:lang w:val="en-SE"/>
        </w:rPr>
        <w:t xml:space="preserve">Redcap </w:t>
      </w:r>
      <w:r w:rsidRPr="00D907DB">
        <w:rPr>
          <w:b/>
          <w:bCs/>
          <w:lang w:val="en-SE"/>
        </w:rPr>
        <w:t xml:space="preserve">and NTN </w:t>
      </w:r>
      <w:r w:rsidR="00F261D8" w:rsidRPr="00D907DB">
        <w:rPr>
          <w:b/>
          <w:bCs/>
          <w:lang w:val="en-SE"/>
        </w:rPr>
        <w:t xml:space="preserve">Redcap REFSENS </w:t>
      </w:r>
      <w:r w:rsidR="007A07A5" w:rsidRPr="00D907DB">
        <w:rPr>
          <w:b/>
          <w:bCs/>
          <w:lang w:val="en-SE"/>
        </w:rPr>
        <w:t>can facilitate</w:t>
      </w:r>
      <w:r w:rsidR="008E6859" w:rsidRPr="008E6859">
        <w:rPr>
          <w:b/>
          <w:bCs/>
          <w:lang w:val="en-SE"/>
        </w:rPr>
        <w:t xml:space="preserve"> </w:t>
      </w:r>
      <w:r w:rsidR="00E940D1">
        <w:rPr>
          <w:b/>
          <w:bCs/>
          <w:lang w:val="en-SE"/>
        </w:rPr>
        <w:t xml:space="preserve">the </w:t>
      </w:r>
      <w:r w:rsidR="008E6859" w:rsidRPr="008E6859">
        <w:rPr>
          <w:b/>
          <w:bCs/>
          <w:lang w:val="en-SE"/>
        </w:rPr>
        <w:t xml:space="preserve">time-to-market of </w:t>
      </w:r>
      <w:r w:rsidR="00B12433">
        <w:rPr>
          <w:b/>
          <w:bCs/>
          <w:lang w:val="en-SE"/>
        </w:rPr>
        <w:t xml:space="preserve">the </w:t>
      </w:r>
      <w:r w:rsidR="008E6859" w:rsidRPr="008E6859">
        <w:rPr>
          <w:b/>
          <w:bCs/>
          <w:lang w:val="en-SE"/>
        </w:rPr>
        <w:t xml:space="preserve">Redcap NTN system and reduce </w:t>
      </w:r>
      <w:r w:rsidR="00E940D1">
        <w:rPr>
          <w:b/>
          <w:bCs/>
          <w:lang w:val="en-SE"/>
        </w:rPr>
        <w:t>its</w:t>
      </w:r>
      <w:r w:rsidR="008E6859" w:rsidRPr="008E6859">
        <w:rPr>
          <w:b/>
          <w:bCs/>
          <w:lang w:val="en-SE"/>
        </w:rPr>
        <w:t xml:space="preserve"> cost.</w:t>
      </w:r>
    </w:p>
    <w:p w14:paraId="50CB38B0" w14:textId="65FF3224" w:rsidR="00C5179E" w:rsidRDefault="007A07A5" w:rsidP="00652ADC">
      <w:pPr>
        <w:pStyle w:val="BodyText"/>
        <w:jc w:val="both"/>
        <w:rPr>
          <w:lang w:val="en-SE"/>
        </w:rPr>
      </w:pPr>
      <w:r>
        <w:rPr>
          <w:lang w:val="en-SE"/>
        </w:rPr>
        <w:t xml:space="preserve">From the coverage </w:t>
      </w:r>
      <w:r w:rsidR="00AC7C68">
        <w:rPr>
          <w:lang w:val="en-SE"/>
        </w:rPr>
        <w:t>perspective</w:t>
      </w:r>
      <w:r>
        <w:rPr>
          <w:lang w:val="en-SE"/>
        </w:rPr>
        <w:t xml:space="preserve">, it is our understanding that the </w:t>
      </w:r>
      <w:r w:rsidR="00AC7C68">
        <w:rPr>
          <w:lang w:val="en-SE"/>
        </w:rPr>
        <w:t>uplink coverage</w:t>
      </w:r>
      <w:r>
        <w:rPr>
          <w:lang w:val="en-SE"/>
        </w:rPr>
        <w:t xml:space="preserve"> is the bottleneck for both </w:t>
      </w:r>
      <w:r w:rsidR="00796298">
        <w:rPr>
          <w:lang w:val="en-SE"/>
        </w:rPr>
        <w:t>legacy</w:t>
      </w:r>
      <w:r>
        <w:rPr>
          <w:lang w:val="en-SE"/>
        </w:rPr>
        <w:t xml:space="preserve"> </w:t>
      </w:r>
      <w:r w:rsidR="00796298">
        <w:rPr>
          <w:lang w:val="en-SE"/>
        </w:rPr>
        <w:t xml:space="preserve">TN </w:t>
      </w:r>
      <w:r>
        <w:rPr>
          <w:lang w:val="en-SE"/>
        </w:rPr>
        <w:t xml:space="preserve">Redcap and </w:t>
      </w:r>
      <w:r w:rsidR="00796298">
        <w:rPr>
          <w:lang w:val="en-SE"/>
        </w:rPr>
        <w:t xml:space="preserve">legacy </w:t>
      </w:r>
      <w:r>
        <w:rPr>
          <w:lang w:val="en-SE"/>
        </w:rPr>
        <w:t>NTN network</w:t>
      </w:r>
      <w:r w:rsidR="00E940D1">
        <w:rPr>
          <w:lang w:val="en-SE"/>
        </w:rPr>
        <w:t>s</w:t>
      </w:r>
      <w:r>
        <w:rPr>
          <w:lang w:val="en-SE"/>
        </w:rPr>
        <w:t>. Therefore, further stringent REFSENS requirement</w:t>
      </w:r>
      <w:r w:rsidR="00E940D1">
        <w:rPr>
          <w:lang w:val="en-SE"/>
        </w:rPr>
        <w:t>s</w:t>
      </w:r>
      <w:r>
        <w:rPr>
          <w:lang w:val="en-SE"/>
        </w:rPr>
        <w:t xml:space="preserve"> may not </w:t>
      </w:r>
      <w:r w:rsidR="00B12433">
        <w:rPr>
          <w:lang w:val="en-SE"/>
        </w:rPr>
        <w:t>significantly benefit</w:t>
      </w:r>
      <w:r w:rsidR="00AC7C68">
        <w:rPr>
          <w:lang w:val="en-SE"/>
        </w:rPr>
        <w:t xml:space="preserve"> network coverage. </w:t>
      </w:r>
      <w:r>
        <w:rPr>
          <w:lang w:val="en-SE"/>
        </w:rPr>
        <w:t xml:space="preserve">  </w:t>
      </w:r>
    </w:p>
    <w:p w14:paraId="4BA77B81" w14:textId="0CFE9A54" w:rsidR="00C5179E" w:rsidRPr="00D907DB" w:rsidRDefault="00AC7C68" w:rsidP="00652ADC">
      <w:pPr>
        <w:pStyle w:val="BodyText"/>
        <w:jc w:val="both"/>
        <w:rPr>
          <w:b/>
          <w:bCs/>
          <w:lang w:val="en-SE"/>
        </w:rPr>
      </w:pPr>
      <w:r w:rsidRPr="00C943A9">
        <w:rPr>
          <w:b/>
          <w:bCs/>
          <w:lang w:val="en-SE"/>
        </w:rPr>
        <w:t>Observation</w:t>
      </w:r>
      <w:r w:rsidR="0008430E">
        <w:rPr>
          <w:b/>
          <w:bCs/>
          <w:lang w:val="en-SE"/>
        </w:rPr>
        <w:t xml:space="preserve"> </w:t>
      </w:r>
      <w:r w:rsidR="006559CE">
        <w:rPr>
          <w:b/>
          <w:bCs/>
          <w:lang w:val="en-SE"/>
        </w:rPr>
        <w:t>3</w:t>
      </w:r>
      <w:r w:rsidRPr="00C943A9">
        <w:rPr>
          <w:b/>
          <w:bCs/>
          <w:lang w:val="en-SE"/>
        </w:rPr>
        <w:t xml:space="preserve">: </w:t>
      </w:r>
      <w:r w:rsidR="00796298">
        <w:rPr>
          <w:b/>
          <w:bCs/>
          <w:lang w:val="en-SE"/>
        </w:rPr>
        <w:t>M</w:t>
      </w:r>
      <w:r w:rsidR="004D7216">
        <w:rPr>
          <w:b/>
          <w:bCs/>
          <w:lang w:val="en-SE"/>
        </w:rPr>
        <w:t>ak</w:t>
      </w:r>
      <w:r w:rsidR="00796298">
        <w:rPr>
          <w:b/>
          <w:bCs/>
          <w:lang w:val="en-SE"/>
        </w:rPr>
        <w:t>ing</w:t>
      </w:r>
      <w:r w:rsidR="004D7216">
        <w:rPr>
          <w:b/>
          <w:bCs/>
          <w:lang w:val="en-SE"/>
        </w:rPr>
        <w:t xml:space="preserve"> the REFSENS for HD-FDD NTN Redcap more </w:t>
      </w:r>
      <w:r w:rsidR="0008430E">
        <w:rPr>
          <w:b/>
          <w:bCs/>
          <w:lang w:val="en-SE"/>
        </w:rPr>
        <w:t>stringent</w:t>
      </w:r>
      <w:r w:rsidR="004D7216">
        <w:rPr>
          <w:b/>
          <w:bCs/>
          <w:lang w:val="en-SE"/>
        </w:rPr>
        <w:t xml:space="preserve"> </w:t>
      </w:r>
      <w:r w:rsidR="0008430E">
        <w:rPr>
          <w:b/>
          <w:bCs/>
          <w:lang w:val="en-SE"/>
        </w:rPr>
        <w:t xml:space="preserve">may not </w:t>
      </w:r>
      <w:r w:rsidR="00B12433">
        <w:rPr>
          <w:b/>
          <w:bCs/>
          <w:lang w:val="en-SE"/>
        </w:rPr>
        <w:t>significantly benefit</w:t>
      </w:r>
      <w:r w:rsidR="0008430E" w:rsidRPr="00D907DB">
        <w:rPr>
          <w:b/>
          <w:bCs/>
          <w:lang w:val="en-SE"/>
        </w:rPr>
        <w:t xml:space="preserve"> network coverage</w:t>
      </w:r>
      <w:r w:rsidR="00796298">
        <w:rPr>
          <w:b/>
          <w:bCs/>
          <w:lang w:val="en-SE"/>
        </w:rPr>
        <w:t xml:space="preserve"> as the uplink is usually the bottleneck</w:t>
      </w:r>
      <w:r w:rsidRPr="00C943A9">
        <w:rPr>
          <w:b/>
          <w:bCs/>
          <w:lang w:val="en-SE"/>
        </w:rPr>
        <w:t xml:space="preserve">. </w:t>
      </w:r>
    </w:p>
    <w:p w14:paraId="53A976DF" w14:textId="78928B36" w:rsidR="00BD7CF9" w:rsidRPr="00D907DB" w:rsidRDefault="00D877FF" w:rsidP="00652ADC">
      <w:pPr>
        <w:pStyle w:val="BodyText"/>
        <w:jc w:val="both"/>
        <w:rPr>
          <w:lang w:val="en-SE"/>
        </w:rPr>
      </w:pPr>
      <w:r w:rsidRPr="00DC16F7">
        <w:rPr>
          <w:lang w:val="en-US"/>
        </w:rPr>
        <w:t xml:space="preserve">Therefore, it is </w:t>
      </w:r>
      <w:r w:rsidR="00C15866" w:rsidRPr="00D907DB">
        <w:rPr>
          <w:lang w:val="en-SE"/>
        </w:rPr>
        <w:t xml:space="preserve">proposed that the same approach can </w:t>
      </w:r>
      <w:r w:rsidR="00F74870">
        <w:rPr>
          <w:lang w:val="en-SE"/>
        </w:rPr>
        <w:t xml:space="preserve">also be used </w:t>
      </w:r>
      <w:r w:rsidR="00C15866" w:rsidRPr="00D907DB">
        <w:rPr>
          <w:lang w:val="en-SE"/>
        </w:rPr>
        <w:t>to derive the REFSENS for NTN Redcap HD-FDD</w:t>
      </w:r>
      <w:r w:rsidR="00BD7CF9">
        <w:rPr>
          <w:lang w:val="en-SE"/>
        </w:rPr>
        <w:t xml:space="preserve">, where </w:t>
      </w:r>
      <w:r w:rsidR="00CC22A6">
        <w:rPr>
          <w:lang w:val="en-SE"/>
        </w:rPr>
        <w:t>RAN4 shall</w:t>
      </w:r>
      <w:r w:rsidR="00BD7CF9">
        <w:rPr>
          <w:lang w:val="en-SE"/>
        </w:rPr>
        <w:t xml:space="preserve"> confirm 0.5 dB tightening </w:t>
      </w:r>
      <w:r w:rsidR="00BD7CF9" w:rsidRPr="00D907DB">
        <w:rPr>
          <w:lang w:val="en-SE"/>
        </w:rPr>
        <w:t xml:space="preserve">for n254 </w:t>
      </w:r>
      <w:r w:rsidR="006D1D77" w:rsidRPr="00D907DB">
        <w:rPr>
          <w:lang w:val="en-SE"/>
        </w:rPr>
        <w:t>and</w:t>
      </w:r>
      <w:r w:rsidR="00BD7CF9" w:rsidRPr="00D907DB">
        <w:rPr>
          <w:lang w:val="en-SE"/>
        </w:rPr>
        <w:t xml:space="preserve"> </w:t>
      </w:r>
      <w:r w:rsidR="00CC22A6">
        <w:rPr>
          <w:lang w:val="en-SE"/>
        </w:rPr>
        <w:t xml:space="preserve">adopt </w:t>
      </w:r>
      <w:r w:rsidR="00BD7CF9" w:rsidRPr="00D907DB">
        <w:rPr>
          <w:lang w:val="en-SE"/>
        </w:rPr>
        <w:t>0 dB tightening for n255.</w:t>
      </w:r>
    </w:p>
    <w:p w14:paraId="52305FF5" w14:textId="1B79ED3B" w:rsidR="00BD7CF9" w:rsidRDefault="00BD7CF9" w:rsidP="00652ADC">
      <w:pPr>
        <w:pStyle w:val="BodyText"/>
        <w:jc w:val="both"/>
        <w:rPr>
          <w:b/>
          <w:bCs/>
          <w:lang w:val="en-SE"/>
        </w:rPr>
      </w:pPr>
      <w:r w:rsidRPr="00D907DB">
        <w:rPr>
          <w:b/>
          <w:bCs/>
          <w:lang w:val="en-SE"/>
        </w:rPr>
        <w:t>Proposal 1: RAN4 confirm</w:t>
      </w:r>
      <w:r w:rsidR="00CC22A6">
        <w:rPr>
          <w:b/>
          <w:bCs/>
          <w:lang w:val="en-SE"/>
        </w:rPr>
        <w:t>s the</w:t>
      </w:r>
      <w:r w:rsidRPr="00D907DB">
        <w:rPr>
          <w:b/>
          <w:bCs/>
          <w:lang w:val="en-SE"/>
        </w:rPr>
        <w:t xml:space="preserve"> 0.5 dB tightening for n254 and 0 dB tightening for n255 for the REFSENS of HD-FDD Redcap NTN</w:t>
      </w:r>
      <w:r w:rsidR="004D3386">
        <w:rPr>
          <w:b/>
          <w:bCs/>
          <w:lang w:val="en-SE"/>
        </w:rPr>
        <w:t xml:space="preserve">, e.g., -100 dBm </w:t>
      </w:r>
      <w:r w:rsidR="00EF4D8F">
        <w:rPr>
          <w:b/>
          <w:bCs/>
          <w:lang w:val="en-SE"/>
        </w:rPr>
        <w:t xml:space="preserve">for </w:t>
      </w:r>
      <w:r w:rsidR="004D3386">
        <w:rPr>
          <w:b/>
          <w:bCs/>
          <w:lang w:val="en-SE"/>
        </w:rPr>
        <w:t>5MHz</w:t>
      </w:r>
      <w:r w:rsidR="00EF4D8F">
        <w:rPr>
          <w:b/>
          <w:bCs/>
          <w:lang w:val="en-SE"/>
        </w:rPr>
        <w:t xml:space="preserve"> BW</w:t>
      </w:r>
      <w:r w:rsidR="004D3386">
        <w:rPr>
          <w:b/>
          <w:bCs/>
          <w:lang w:val="en-SE"/>
        </w:rPr>
        <w:t xml:space="preserve"> for n255 and n254. </w:t>
      </w:r>
      <w:r w:rsidRPr="00D907DB">
        <w:rPr>
          <w:b/>
          <w:bCs/>
          <w:lang w:val="en-SE"/>
        </w:rPr>
        <w:t xml:space="preserve">  </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lastRenderedPageBreak/>
        <w:t>Conclusion</w:t>
      </w:r>
    </w:p>
    <w:p w14:paraId="7E323D33" w14:textId="523510D9" w:rsidR="00A01CAD" w:rsidRDefault="00A01CAD" w:rsidP="00A01CAD">
      <w:pPr>
        <w:pStyle w:val="BodyText"/>
        <w:jc w:val="both"/>
        <w:rPr>
          <w:lang w:val="en-US"/>
        </w:rPr>
      </w:pPr>
      <w:r w:rsidRPr="009A1ADE">
        <w:rPr>
          <w:lang w:val="en-US"/>
        </w:rPr>
        <w:t xml:space="preserve">In this paper, </w:t>
      </w:r>
      <w:r w:rsidR="000D1821">
        <w:rPr>
          <w:lang w:val="en-US"/>
        </w:rPr>
        <w:t xml:space="preserve">we presented our view on the RF requirement for NTN Redcap and </w:t>
      </w:r>
      <w:proofErr w:type="spellStart"/>
      <w:r w:rsidR="000D1821">
        <w:rPr>
          <w:lang w:val="en-US"/>
        </w:rPr>
        <w:t>eRedcap</w:t>
      </w:r>
      <w:proofErr w:type="spellEnd"/>
      <w:r w:rsidR="000D1821">
        <w:rPr>
          <w:lang w:val="en-US"/>
        </w:rPr>
        <w:t>, where the following observation</w:t>
      </w:r>
      <w:r w:rsidR="00D907DB">
        <w:rPr>
          <w:lang w:val="en-US"/>
        </w:rPr>
        <w:t>s</w:t>
      </w:r>
      <w:r w:rsidR="000D1821">
        <w:rPr>
          <w:lang w:val="en-US"/>
        </w:rPr>
        <w:t xml:space="preserve"> and proposals are made:</w:t>
      </w:r>
    </w:p>
    <w:p w14:paraId="3F84B4A8" w14:textId="77777777" w:rsidR="00251DAE" w:rsidRPr="00536093" w:rsidRDefault="00251DAE" w:rsidP="00251DAE">
      <w:pPr>
        <w:pStyle w:val="BodyText"/>
        <w:jc w:val="both"/>
        <w:rPr>
          <w:b/>
          <w:bCs/>
          <w:lang w:val="en-SE"/>
        </w:rPr>
      </w:pPr>
      <w:r w:rsidRPr="00D907DB">
        <w:rPr>
          <w:b/>
          <w:bCs/>
          <w:lang w:val="en-SE"/>
        </w:rPr>
        <w:t>Observation</w:t>
      </w:r>
      <w:r>
        <w:rPr>
          <w:b/>
          <w:bCs/>
          <w:lang w:val="en-SE"/>
        </w:rPr>
        <w:t xml:space="preserve"> 1</w:t>
      </w:r>
      <w:r w:rsidRPr="00D907DB">
        <w:rPr>
          <w:b/>
          <w:bCs/>
          <w:lang w:val="en-SE"/>
        </w:rPr>
        <w:t xml:space="preserve">: </w:t>
      </w:r>
      <w:r>
        <w:rPr>
          <w:b/>
          <w:bCs/>
          <w:lang w:val="en-SE"/>
        </w:rPr>
        <w:t xml:space="preserve">Tentative agreement has been made in RAN4#111 on the REFSENS of n254 with </w:t>
      </w:r>
      <w:r w:rsidRPr="00536093">
        <w:rPr>
          <w:b/>
          <w:bCs/>
          <w:lang w:val="en-SE"/>
        </w:rPr>
        <w:t>0.5 dB tightening</w:t>
      </w:r>
      <w:r>
        <w:rPr>
          <w:b/>
          <w:bCs/>
          <w:lang w:val="en-SE"/>
        </w:rPr>
        <w:t>.</w:t>
      </w:r>
    </w:p>
    <w:p w14:paraId="3030AB55" w14:textId="77777777" w:rsidR="00251DAE" w:rsidRPr="00D907DB" w:rsidRDefault="00251DAE" w:rsidP="00251DAE">
      <w:pPr>
        <w:pStyle w:val="BodyText"/>
        <w:jc w:val="both"/>
        <w:rPr>
          <w:b/>
          <w:bCs/>
          <w:lang w:val="en-SE"/>
        </w:rPr>
      </w:pPr>
      <w:r w:rsidRPr="00D907DB">
        <w:rPr>
          <w:b/>
          <w:bCs/>
          <w:lang w:val="en-SE"/>
        </w:rPr>
        <w:t>Observation</w:t>
      </w:r>
      <w:r>
        <w:rPr>
          <w:b/>
          <w:bCs/>
          <w:lang w:val="en-SE"/>
        </w:rPr>
        <w:t xml:space="preserve"> 2</w:t>
      </w:r>
      <w:r w:rsidRPr="00D907DB">
        <w:rPr>
          <w:b/>
          <w:bCs/>
          <w:lang w:val="en-SE"/>
        </w:rPr>
        <w:t xml:space="preserve">: </w:t>
      </w:r>
      <w:r>
        <w:rPr>
          <w:b/>
          <w:bCs/>
          <w:lang w:val="en-SE"/>
        </w:rPr>
        <w:t>A</w:t>
      </w:r>
      <w:r w:rsidRPr="00D907DB">
        <w:rPr>
          <w:b/>
          <w:bCs/>
          <w:lang w:val="en-SE"/>
        </w:rPr>
        <w:t xml:space="preserve">dopting the same principle </w:t>
      </w:r>
      <w:r>
        <w:rPr>
          <w:b/>
          <w:bCs/>
          <w:lang w:val="en-SE"/>
        </w:rPr>
        <w:t>i</w:t>
      </w:r>
      <w:r w:rsidRPr="00D907DB">
        <w:rPr>
          <w:b/>
          <w:bCs/>
          <w:lang w:val="en-SE"/>
        </w:rPr>
        <w:t>n defining the TN Redcap and NTN Redcap REFSENS can facilitate</w:t>
      </w:r>
      <w:r w:rsidRPr="008E6859">
        <w:rPr>
          <w:b/>
          <w:bCs/>
          <w:lang w:val="en-SE"/>
        </w:rPr>
        <w:t xml:space="preserve"> </w:t>
      </w:r>
      <w:r>
        <w:rPr>
          <w:b/>
          <w:bCs/>
          <w:lang w:val="en-SE"/>
        </w:rPr>
        <w:t xml:space="preserve">the </w:t>
      </w:r>
      <w:r w:rsidRPr="008E6859">
        <w:rPr>
          <w:b/>
          <w:bCs/>
          <w:lang w:val="en-SE"/>
        </w:rPr>
        <w:t xml:space="preserve">time-to-market of </w:t>
      </w:r>
      <w:r>
        <w:rPr>
          <w:b/>
          <w:bCs/>
          <w:lang w:val="en-SE"/>
        </w:rPr>
        <w:t xml:space="preserve">the </w:t>
      </w:r>
      <w:r w:rsidRPr="008E6859">
        <w:rPr>
          <w:b/>
          <w:bCs/>
          <w:lang w:val="en-SE"/>
        </w:rPr>
        <w:t xml:space="preserve">Redcap NTN system and reduce </w:t>
      </w:r>
      <w:r>
        <w:rPr>
          <w:b/>
          <w:bCs/>
          <w:lang w:val="en-SE"/>
        </w:rPr>
        <w:t>its</w:t>
      </w:r>
      <w:r w:rsidRPr="008E6859">
        <w:rPr>
          <w:b/>
          <w:bCs/>
          <w:lang w:val="en-SE"/>
        </w:rPr>
        <w:t xml:space="preserve"> cost.</w:t>
      </w:r>
    </w:p>
    <w:p w14:paraId="5091E620" w14:textId="77777777" w:rsidR="00251DAE" w:rsidRPr="00D907DB" w:rsidRDefault="00251DAE" w:rsidP="00251DAE">
      <w:pPr>
        <w:pStyle w:val="BodyText"/>
        <w:jc w:val="both"/>
        <w:rPr>
          <w:b/>
          <w:bCs/>
          <w:lang w:val="en-SE"/>
        </w:rPr>
      </w:pPr>
      <w:r w:rsidRPr="00C943A9">
        <w:rPr>
          <w:b/>
          <w:bCs/>
          <w:lang w:val="en-SE"/>
        </w:rPr>
        <w:t>Observation</w:t>
      </w:r>
      <w:r>
        <w:rPr>
          <w:b/>
          <w:bCs/>
          <w:lang w:val="en-SE"/>
        </w:rPr>
        <w:t xml:space="preserve"> 3</w:t>
      </w:r>
      <w:r w:rsidRPr="00C943A9">
        <w:rPr>
          <w:b/>
          <w:bCs/>
          <w:lang w:val="en-SE"/>
        </w:rPr>
        <w:t xml:space="preserve">: </w:t>
      </w:r>
      <w:r>
        <w:rPr>
          <w:b/>
          <w:bCs/>
          <w:lang w:val="en-SE"/>
        </w:rPr>
        <w:t>Making the REFSENS for HD-FDD NTN Redcap more stringent may not significantly benefit</w:t>
      </w:r>
      <w:r w:rsidRPr="00D907DB">
        <w:rPr>
          <w:b/>
          <w:bCs/>
          <w:lang w:val="en-SE"/>
        </w:rPr>
        <w:t xml:space="preserve"> network coverage</w:t>
      </w:r>
      <w:r>
        <w:rPr>
          <w:b/>
          <w:bCs/>
          <w:lang w:val="en-SE"/>
        </w:rPr>
        <w:t xml:space="preserve"> as the uplink is usually the bottleneck</w:t>
      </w:r>
      <w:r w:rsidRPr="00C943A9">
        <w:rPr>
          <w:b/>
          <w:bCs/>
          <w:lang w:val="en-SE"/>
        </w:rPr>
        <w:t xml:space="preserve">. </w:t>
      </w:r>
    </w:p>
    <w:p w14:paraId="2AAC4505" w14:textId="2AA5A23F" w:rsidR="00294960" w:rsidRPr="00251DAE" w:rsidRDefault="00251DAE" w:rsidP="00A01CAD">
      <w:pPr>
        <w:pStyle w:val="BodyText"/>
        <w:jc w:val="both"/>
        <w:rPr>
          <w:b/>
          <w:bCs/>
          <w:lang w:val="en-SE"/>
        </w:rPr>
      </w:pPr>
      <w:r w:rsidRPr="00D907DB">
        <w:rPr>
          <w:b/>
          <w:bCs/>
          <w:lang w:val="en-SE"/>
        </w:rPr>
        <w:t>Proposal 1: RAN4 confirm</w:t>
      </w:r>
      <w:r>
        <w:rPr>
          <w:b/>
          <w:bCs/>
          <w:lang w:val="en-SE"/>
        </w:rPr>
        <w:t>s the</w:t>
      </w:r>
      <w:r w:rsidRPr="00D907DB">
        <w:rPr>
          <w:b/>
          <w:bCs/>
          <w:lang w:val="en-SE"/>
        </w:rPr>
        <w:t xml:space="preserve"> 0.5 dB tightening for n254 and 0 dB tightening for n255 for the REFSENS of HD-FDD Redcap NTN</w:t>
      </w:r>
      <w:r>
        <w:rPr>
          <w:b/>
          <w:bCs/>
          <w:lang w:val="en-SE"/>
        </w:rPr>
        <w:t xml:space="preserve">, e.g., -100 dBm for 5MHz BW for n255 and n254. </w:t>
      </w:r>
      <w:r w:rsidRPr="00D907DB">
        <w:rPr>
          <w:b/>
          <w:bCs/>
          <w:lang w:val="en-SE"/>
        </w:rPr>
        <w:t xml:space="preserve">  </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2D53470E" w14:textId="5DA44502" w:rsidR="00B3056C" w:rsidRDefault="00DC5064" w:rsidP="00A01CAD">
      <w:pPr>
        <w:pStyle w:val="BodyText"/>
        <w:numPr>
          <w:ilvl w:val="0"/>
          <w:numId w:val="8"/>
        </w:numPr>
        <w:jc w:val="both"/>
        <w:rPr>
          <w:lang w:val="en-US"/>
        </w:rPr>
      </w:pPr>
      <w:r w:rsidRPr="00DC5064">
        <w:rPr>
          <w:lang w:val="en-US"/>
        </w:rPr>
        <w:t>R4-2419897</w:t>
      </w:r>
      <w:r>
        <w:rPr>
          <w:lang w:val="en-US"/>
        </w:rPr>
        <w:t xml:space="preserve"> </w:t>
      </w:r>
      <w:r w:rsidR="00294960" w:rsidRPr="00294960">
        <w:rPr>
          <w:lang w:val="en-US"/>
        </w:rPr>
        <w:t>Way Forward for [113][310] NR_NTN_Ph3_UE_RF</w:t>
      </w:r>
      <w:r w:rsidR="00B3056C" w:rsidRPr="00B3056C">
        <w:rPr>
          <w:lang w:val="en-US"/>
        </w:rPr>
        <w:tab/>
        <w:t>Qualcomm</w:t>
      </w:r>
    </w:p>
    <w:p w14:paraId="50BD8592" w14:textId="77777777" w:rsidR="000A1077" w:rsidRDefault="000A1077" w:rsidP="00D907DB">
      <w:pPr>
        <w:pStyle w:val="BodyText"/>
        <w:jc w:val="both"/>
        <w:rPr>
          <w:lang w:val="en-US"/>
        </w:rPr>
      </w:pPr>
      <w:bookmarkStart w:id="0" w:name="Title"/>
      <w:bookmarkStart w:id="1" w:name="DocumentFor"/>
      <w:bookmarkEnd w:id="0"/>
      <w:bookmarkEnd w:id="1"/>
    </w:p>
    <w:p w14:paraId="27ABDC54" w14:textId="77777777" w:rsidR="000A1077" w:rsidRPr="00960144" w:rsidRDefault="000A1077" w:rsidP="00D907DB">
      <w:pPr>
        <w:pStyle w:val="BodyText"/>
        <w:jc w:val="both"/>
        <w:rPr>
          <w:lang w:val="en-US"/>
        </w:rPr>
      </w:pPr>
    </w:p>
    <w:sectPr w:rsidR="000A1077"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3"/>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4"/>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2"/>
  </w:num>
  <w:num w:numId="17" w16cid:durableId="727073890">
    <w:abstractNumId w:val="9"/>
  </w:num>
  <w:num w:numId="18" w16cid:durableId="483014399">
    <w:abstractNumId w:val="11"/>
  </w:num>
  <w:num w:numId="19" w16cid:durableId="9761820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MqgFAJTlPkAtAAAA"/>
  </w:docVars>
  <w:rsids>
    <w:rsidRoot w:val="0065781A"/>
    <w:rsid w:val="000035AE"/>
    <w:rsid w:val="000035E8"/>
    <w:rsid w:val="00015E9F"/>
    <w:rsid w:val="0002201E"/>
    <w:rsid w:val="000325FE"/>
    <w:rsid w:val="0003581A"/>
    <w:rsid w:val="000404E6"/>
    <w:rsid w:val="000516DE"/>
    <w:rsid w:val="00051A3E"/>
    <w:rsid w:val="000526E2"/>
    <w:rsid w:val="000546C1"/>
    <w:rsid w:val="00071EC6"/>
    <w:rsid w:val="00072A63"/>
    <w:rsid w:val="00072F8A"/>
    <w:rsid w:val="00082171"/>
    <w:rsid w:val="00083E51"/>
    <w:rsid w:val="00083F44"/>
    <w:rsid w:val="0008430E"/>
    <w:rsid w:val="0008488E"/>
    <w:rsid w:val="0009681B"/>
    <w:rsid w:val="000A1077"/>
    <w:rsid w:val="000A4D26"/>
    <w:rsid w:val="000A7B05"/>
    <w:rsid w:val="000B05F4"/>
    <w:rsid w:val="000C0E86"/>
    <w:rsid w:val="000D051A"/>
    <w:rsid w:val="000D1821"/>
    <w:rsid w:val="000D4D89"/>
    <w:rsid w:val="000D6E93"/>
    <w:rsid w:val="000E0D78"/>
    <w:rsid w:val="000E1987"/>
    <w:rsid w:val="000F282D"/>
    <w:rsid w:val="00102D35"/>
    <w:rsid w:val="00103837"/>
    <w:rsid w:val="00110493"/>
    <w:rsid w:val="00116479"/>
    <w:rsid w:val="001207EE"/>
    <w:rsid w:val="001208EE"/>
    <w:rsid w:val="00125513"/>
    <w:rsid w:val="001318C5"/>
    <w:rsid w:val="0014267B"/>
    <w:rsid w:val="00150CED"/>
    <w:rsid w:val="00160187"/>
    <w:rsid w:val="001716B9"/>
    <w:rsid w:val="00177F43"/>
    <w:rsid w:val="00181FEC"/>
    <w:rsid w:val="00186D43"/>
    <w:rsid w:val="001923CE"/>
    <w:rsid w:val="00192691"/>
    <w:rsid w:val="001A29DD"/>
    <w:rsid w:val="001A4E3D"/>
    <w:rsid w:val="001A5E40"/>
    <w:rsid w:val="001B0399"/>
    <w:rsid w:val="001B219D"/>
    <w:rsid w:val="001C4B81"/>
    <w:rsid w:val="001C625B"/>
    <w:rsid w:val="001C6524"/>
    <w:rsid w:val="001D43C2"/>
    <w:rsid w:val="001E0F77"/>
    <w:rsid w:val="001E5E2C"/>
    <w:rsid w:val="001F0C8B"/>
    <w:rsid w:val="002043C0"/>
    <w:rsid w:val="00211039"/>
    <w:rsid w:val="00211255"/>
    <w:rsid w:val="00212D68"/>
    <w:rsid w:val="00225D84"/>
    <w:rsid w:val="00230DCE"/>
    <w:rsid w:val="0024755C"/>
    <w:rsid w:val="0024799E"/>
    <w:rsid w:val="00251B76"/>
    <w:rsid w:val="00251DAE"/>
    <w:rsid w:val="00252F91"/>
    <w:rsid w:val="00254A8E"/>
    <w:rsid w:val="00254DE5"/>
    <w:rsid w:val="00257C14"/>
    <w:rsid w:val="002617E6"/>
    <w:rsid w:val="002619E7"/>
    <w:rsid w:val="00261DCB"/>
    <w:rsid w:val="002621D3"/>
    <w:rsid w:val="0027112B"/>
    <w:rsid w:val="0027608D"/>
    <w:rsid w:val="002816AA"/>
    <w:rsid w:val="00282846"/>
    <w:rsid w:val="002829AC"/>
    <w:rsid w:val="00283EFD"/>
    <w:rsid w:val="00292EB8"/>
    <w:rsid w:val="00294960"/>
    <w:rsid w:val="002A3836"/>
    <w:rsid w:val="002A53A6"/>
    <w:rsid w:val="002B2969"/>
    <w:rsid w:val="002C703D"/>
    <w:rsid w:val="002D0A13"/>
    <w:rsid w:val="002D66E9"/>
    <w:rsid w:val="002E1023"/>
    <w:rsid w:val="002E13F8"/>
    <w:rsid w:val="002E614E"/>
    <w:rsid w:val="002F5769"/>
    <w:rsid w:val="003037F5"/>
    <w:rsid w:val="003176C7"/>
    <w:rsid w:val="003303D4"/>
    <w:rsid w:val="00331FB0"/>
    <w:rsid w:val="00334F7C"/>
    <w:rsid w:val="00343FD7"/>
    <w:rsid w:val="00344485"/>
    <w:rsid w:val="003448C8"/>
    <w:rsid w:val="003515DC"/>
    <w:rsid w:val="00355E5A"/>
    <w:rsid w:val="0035620E"/>
    <w:rsid w:val="00363E74"/>
    <w:rsid w:val="003647E6"/>
    <w:rsid w:val="00367642"/>
    <w:rsid w:val="00372E0F"/>
    <w:rsid w:val="003829C0"/>
    <w:rsid w:val="00385C74"/>
    <w:rsid w:val="00391F74"/>
    <w:rsid w:val="003A517C"/>
    <w:rsid w:val="003A72AC"/>
    <w:rsid w:val="003C0DDC"/>
    <w:rsid w:val="003C1DC2"/>
    <w:rsid w:val="003C64E6"/>
    <w:rsid w:val="003D0414"/>
    <w:rsid w:val="003F3668"/>
    <w:rsid w:val="003F4DC5"/>
    <w:rsid w:val="003F78B9"/>
    <w:rsid w:val="0040446E"/>
    <w:rsid w:val="004072D2"/>
    <w:rsid w:val="00440A6B"/>
    <w:rsid w:val="004439A2"/>
    <w:rsid w:val="004441C5"/>
    <w:rsid w:val="00444716"/>
    <w:rsid w:val="00446CDA"/>
    <w:rsid w:val="00451B9F"/>
    <w:rsid w:val="0045275C"/>
    <w:rsid w:val="00454B11"/>
    <w:rsid w:val="00457358"/>
    <w:rsid w:val="00461D0E"/>
    <w:rsid w:val="00464A2A"/>
    <w:rsid w:val="0048564A"/>
    <w:rsid w:val="004867C6"/>
    <w:rsid w:val="004B233F"/>
    <w:rsid w:val="004B3CD9"/>
    <w:rsid w:val="004C7C00"/>
    <w:rsid w:val="004D3386"/>
    <w:rsid w:val="004D4054"/>
    <w:rsid w:val="004D6B5A"/>
    <w:rsid w:val="004D7216"/>
    <w:rsid w:val="004E212E"/>
    <w:rsid w:val="004E5254"/>
    <w:rsid w:val="004E7120"/>
    <w:rsid w:val="004F025F"/>
    <w:rsid w:val="0050113C"/>
    <w:rsid w:val="00501EC8"/>
    <w:rsid w:val="005022AB"/>
    <w:rsid w:val="00502ECB"/>
    <w:rsid w:val="00503C85"/>
    <w:rsid w:val="005056D8"/>
    <w:rsid w:val="005077D1"/>
    <w:rsid w:val="005100E0"/>
    <w:rsid w:val="005137C4"/>
    <w:rsid w:val="00515289"/>
    <w:rsid w:val="00531FE1"/>
    <w:rsid w:val="00535977"/>
    <w:rsid w:val="00535FEA"/>
    <w:rsid w:val="00536093"/>
    <w:rsid w:val="005531C5"/>
    <w:rsid w:val="005608FD"/>
    <w:rsid w:val="0056128F"/>
    <w:rsid w:val="00561452"/>
    <w:rsid w:val="00561D00"/>
    <w:rsid w:val="00564439"/>
    <w:rsid w:val="00566604"/>
    <w:rsid w:val="0058097C"/>
    <w:rsid w:val="00582942"/>
    <w:rsid w:val="00583F9C"/>
    <w:rsid w:val="00584559"/>
    <w:rsid w:val="005851EB"/>
    <w:rsid w:val="0059463B"/>
    <w:rsid w:val="00596836"/>
    <w:rsid w:val="00596CD0"/>
    <w:rsid w:val="005A2ACA"/>
    <w:rsid w:val="005A3816"/>
    <w:rsid w:val="005B3793"/>
    <w:rsid w:val="005B730F"/>
    <w:rsid w:val="005D4515"/>
    <w:rsid w:val="005E0B85"/>
    <w:rsid w:val="0060200C"/>
    <w:rsid w:val="006207EA"/>
    <w:rsid w:val="006209D3"/>
    <w:rsid w:val="0062556B"/>
    <w:rsid w:val="00627219"/>
    <w:rsid w:val="006303D4"/>
    <w:rsid w:val="006367EC"/>
    <w:rsid w:val="00636ED7"/>
    <w:rsid w:val="00646C15"/>
    <w:rsid w:val="00651A8E"/>
    <w:rsid w:val="00652ADC"/>
    <w:rsid w:val="0065350C"/>
    <w:rsid w:val="00654BF9"/>
    <w:rsid w:val="006559CE"/>
    <w:rsid w:val="00656CD2"/>
    <w:rsid w:val="00656CD4"/>
    <w:rsid w:val="0065781A"/>
    <w:rsid w:val="00661BF9"/>
    <w:rsid w:val="00664E04"/>
    <w:rsid w:val="00671D17"/>
    <w:rsid w:val="006755F4"/>
    <w:rsid w:val="006776E8"/>
    <w:rsid w:val="00681965"/>
    <w:rsid w:val="00682E5D"/>
    <w:rsid w:val="00683D00"/>
    <w:rsid w:val="00687AB0"/>
    <w:rsid w:val="00694ADD"/>
    <w:rsid w:val="006A014E"/>
    <w:rsid w:val="006B1412"/>
    <w:rsid w:val="006B55C8"/>
    <w:rsid w:val="006B6873"/>
    <w:rsid w:val="006B6AA1"/>
    <w:rsid w:val="006C3BB6"/>
    <w:rsid w:val="006D0189"/>
    <w:rsid w:val="006D1D77"/>
    <w:rsid w:val="006D786F"/>
    <w:rsid w:val="006E3CC7"/>
    <w:rsid w:val="006E6250"/>
    <w:rsid w:val="006E7724"/>
    <w:rsid w:val="006F008E"/>
    <w:rsid w:val="006F1BDF"/>
    <w:rsid w:val="006F2E5C"/>
    <w:rsid w:val="006F3DBA"/>
    <w:rsid w:val="006F7577"/>
    <w:rsid w:val="00704149"/>
    <w:rsid w:val="0072063F"/>
    <w:rsid w:val="00722CA4"/>
    <w:rsid w:val="00732DF9"/>
    <w:rsid w:val="00734405"/>
    <w:rsid w:val="007500A9"/>
    <w:rsid w:val="00753FF3"/>
    <w:rsid w:val="00757787"/>
    <w:rsid w:val="00762E98"/>
    <w:rsid w:val="0076448E"/>
    <w:rsid w:val="00775382"/>
    <w:rsid w:val="00781381"/>
    <w:rsid w:val="00787205"/>
    <w:rsid w:val="00791A71"/>
    <w:rsid w:val="00796298"/>
    <w:rsid w:val="007A07A5"/>
    <w:rsid w:val="007B5EE4"/>
    <w:rsid w:val="007C2818"/>
    <w:rsid w:val="007C6663"/>
    <w:rsid w:val="007F72A5"/>
    <w:rsid w:val="00810DBA"/>
    <w:rsid w:val="0081338C"/>
    <w:rsid w:val="00821D38"/>
    <w:rsid w:val="00823742"/>
    <w:rsid w:val="0082482B"/>
    <w:rsid w:val="00825B98"/>
    <w:rsid w:val="00833DC4"/>
    <w:rsid w:val="008345B8"/>
    <w:rsid w:val="008468B5"/>
    <w:rsid w:val="00866CA5"/>
    <w:rsid w:val="00871B16"/>
    <w:rsid w:val="008958B8"/>
    <w:rsid w:val="008A7EE2"/>
    <w:rsid w:val="008B07F2"/>
    <w:rsid w:val="008B20F2"/>
    <w:rsid w:val="008B4588"/>
    <w:rsid w:val="008B4D71"/>
    <w:rsid w:val="008B5DAD"/>
    <w:rsid w:val="008B7AB0"/>
    <w:rsid w:val="008B7C61"/>
    <w:rsid w:val="008C15A8"/>
    <w:rsid w:val="008C2CF4"/>
    <w:rsid w:val="008C70A5"/>
    <w:rsid w:val="008C7735"/>
    <w:rsid w:val="008C7F04"/>
    <w:rsid w:val="008D0932"/>
    <w:rsid w:val="008E3285"/>
    <w:rsid w:val="008E6859"/>
    <w:rsid w:val="008F4298"/>
    <w:rsid w:val="00903967"/>
    <w:rsid w:val="009043DB"/>
    <w:rsid w:val="0090711A"/>
    <w:rsid w:val="00911C82"/>
    <w:rsid w:val="009146F6"/>
    <w:rsid w:val="00922C2A"/>
    <w:rsid w:val="00927A65"/>
    <w:rsid w:val="00935A5C"/>
    <w:rsid w:val="0094036C"/>
    <w:rsid w:val="00946398"/>
    <w:rsid w:val="009524FE"/>
    <w:rsid w:val="00957D3F"/>
    <w:rsid w:val="00960144"/>
    <w:rsid w:val="00962CE0"/>
    <w:rsid w:val="00965DDF"/>
    <w:rsid w:val="00977AB1"/>
    <w:rsid w:val="00993484"/>
    <w:rsid w:val="009A0297"/>
    <w:rsid w:val="009A041C"/>
    <w:rsid w:val="009A0D48"/>
    <w:rsid w:val="009B3818"/>
    <w:rsid w:val="009B6EAB"/>
    <w:rsid w:val="009C22FB"/>
    <w:rsid w:val="009D2D9E"/>
    <w:rsid w:val="009D4C60"/>
    <w:rsid w:val="009D6DB0"/>
    <w:rsid w:val="009E1DA1"/>
    <w:rsid w:val="009E5D6A"/>
    <w:rsid w:val="009F2D15"/>
    <w:rsid w:val="009F389D"/>
    <w:rsid w:val="00A00E89"/>
    <w:rsid w:val="00A01CAD"/>
    <w:rsid w:val="00A0280E"/>
    <w:rsid w:val="00A20B86"/>
    <w:rsid w:val="00A23E24"/>
    <w:rsid w:val="00A25459"/>
    <w:rsid w:val="00A3501D"/>
    <w:rsid w:val="00A350B5"/>
    <w:rsid w:val="00A35682"/>
    <w:rsid w:val="00A37F2D"/>
    <w:rsid w:val="00A53F43"/>
    <w:rsid w:val="00A646EC"/>
    <w:rsid w:val="00A7154E"/>
    <w:rsid w:val="00A72916"/>
    <w:rsid w:val="00A7330C"/>
    <w:rsid w:val="00A80E34"/>
    <w:rsid w:val="00A80F40"/>
    <w:rsid w:val="00A8119A"/>
    <w:rsid w:val="00A825C6"/>
    <w:rsid w:val="00AB18A7"/>
    <w:rsid w:val="00AB2AAB"/>
    <w:rsid w:val="00AB33CD"/>
    <w:rsid w:val="00AC7C68"/>
    <w:rsid w:val="00AD4740"/>
    <w:rsid w:val="00AD56F8"/>
    <w:rsid w:val="00AD6B8A"/>
    <w:rsid w:val="00AF1800"/>
    <w:rsid w:val="00AF301F"/>
    <w:rsid w:val="00AF5C28"/>
    <w:rsid w:val="00AF638C"/>
    <w:rsid w:val="00AF69B5"/>
    <w:rsid w:val="00B12433"/>
    <w:rsid w:val="00B12756"/>
    <w:rsid w:val="00B149DA"/>
    <w:rsid w:val="00B3056C"/>
    <w:rsid w:val="00B3203C"/>
    <w:rsid w:val="00B4560F"/>
    <w:rsid w:val="00B56424"/>
    <w:rsid w:val="00B56C29"/>
    <w:rsid w:val="00B60DA8"/>
    <w:rsid w:val="00B61D80"/>
    <w:rsid w:val="00B62D70"/>
    <w:rsid w:val="00B664E2"/>
    <w:rsid w:val="00B669E6"/>
    <w:rsid w:val="00B72B2E"/>
    <w:rsid w:val="00B8143D"/>
    <w:rsid w:val="00B819B1"/>
    <w:rsid w:val="00B83D34"/>
    <w:rsid w:val="00B97BB2"/>
    <w:rsid w:val="00BA34F0"/>
    <w:rsid w:val="00BA49B0"/>
    <w:rsid w:val="00BC4BD6"/>
    <w:rsid w:val="00BC64C9"/>
    <w:rsid w:val="00BC69F1"/>
    <w:rsid w:val="00BD2596"/>
    <w:rsid w:val="00BD7CF9"/>
    <w:rsid w:val="00BE1BC3"/>
    <w:rsid w:val="00BE69D1"/>
    <w:rsid w:val="00BF03FF"/>
    <w:rsid w:val="00C1530D"/>
    <w:rsid w:val="00C15866"/>
    <w:rsid w:val="00C24807"/>
    <w:rsid w:val="00C41EBF"/>
    <w:rsid w:val="00C420CE"/>
    <w:rsid w:val="00C51380"/>
    <w:rsid w:val="00C5179E"/>
    <w:rsid w:val="00C60C88"/>
    <w:rsid w:val="00C646E9"/>
    <w:rsid w:val="00C747B7"/>
    <w:rsid w:val="00C74882"/>
    <w:rsid w:val="00C75696"/>
    <w:rsid w:val="00C872F2"/>
    <w:rsid w:val="00C9402E"/>
    <w:rsid w:val="00CA0ED4"/>
    <w:rsid w:val="00CA54E3"/>
    <w:rsid w:val="00CB3A44"/>
    <w:rsid w:val="00CC085A"/>
    <w:rsid w:val="00CC22A6"/>
    <w:rsid w:val="00CC4B64"/>
    <w:rsid w:val="00CC7B5F"/>
    <w:rsid w:val="00CD452C"/>
    <w:rsid w:val="00CD687E"/>
    <w:rsid w:val="00CD6D62"/>
    <w:rsid w:val="00CD7479"/>
    <w:rsid w:val="00CD7C9E"/>
    <w:rsid w:val="00CE0860"/>
    <w:rsid w:val="00CE3F6A"/>
    <w:rsid w:val="00CF5676"/>
    <w:rsid w:val="00D10C5D"/>
    <w:rsid w:val="00D16D48"/>
    <w:rsid w:val="00D32173"/>
    <w:rsid w:val="00D427AE"/>
    <w:rsid w:val="00D43061"/>
    <w:rsid w:val="00D432E9"/>
    <w:rsid w:val="00D45EFD"/>
    <w:rsid w:val="00D52A6B"/>
    <w:rsid w:val="00D63AA6"/>
    <w:rsid w:val="00D86F3A"/>
    <w:rsid w:val="00D877FF"/>
    <w:rsid w:val="00D907DB"/>
    <w:rsid w:val="00D92610"/>
    <w:rsid w:val="00DA0774"/>
    <w:rsid w:val="00DA46E9"/>
    <w:rsid w:val="00DB5932"/>
    <w:rsid w:val="00DC16F7"/>
    <w:rsid w:val="00DC5064"/>
    <w:rsid w:val="00DD0725"/>
    <w:rsid w:val="00DD3A12"/>
    <w:rsid w:val="00DE0C42"/>
    <w:rsid w:val="00DE2F87"/>
    <w:rsid w:val="00DF33B4"/>
    <w:rsid w:val="00DF3CBD"/>
    <w:rsid w:val="00E162E3"/>
    <w:rsid w:val="00E212D5"/>
    <w:rsid w:val="00E22E4C"/>
    <w:rsid w:val="00E34806"/>
    <w:rsid w:val="00E374E3"/>
    <w:rsid w:val="00E561C6"/>
    <w:rsid w:val="00E719ED"/>
    <w:rsid w:val="00E732A6"/>
    <w:rsid w:val="00E77B8F"/>
    <w:rsid w:val="00E837A1"/>
    <w:rsid w:val="00E845EF"/>
    <w:rsid w:val="00E86BB1"/>
    <w:rsid w:val="00E940D1"/>
    <w:rsid w:val="00E97756"/>
    <w:rsid w:val="00EA0441"/>
    <w:rsid w:val="00EA10B4"/>
    <w:rsid w:val="00EB157B"/>
    <w:rsid w:val="00EC043A"/>
    <w:rsid w:val="00ED271C"/>
    <w:rsid w:val="00ED5699"/>
    <w:rsid w:val="00EE0EF1"/>
    <w:rsid w:val="00EE15EE"/>
    <w:rsid w:val="00EE4FF9"/>
    <w:rsid w:val="00EE655B"/>
    <w:rsid w:val="00EF4D8F"/>
    <w:rsid w:val="00F06F00"/>
    <w:rsid w:val="00F245CD"/>
    <w:rsid w:val="00F261D8"/>
    <w:rsid w:val="00F3590C"/>
    <w:rsid w:val="00F3737E"/>
    <w:rsid w:val="00F40CDE"/>
    <w:rsid w:val="00F53801"/>
    <w:rsid w:val="00F53D3A"/>
    <w:rsid w:val="00F72FBD"/>
    <w:rsid w:val="00F73A30"/>
    <w:rsid w:val="00F73B7B"/>
    <w:rsid w:val="00F74870"/>
    <w:rsid w:val="00F8650A"/>
    <w:rsid w:val="00F86C64"/>
    <w:rsid w:val="00F95006"/>
    <w:rsid w:val="00FA25C2"/>
    <w:rsid w:val="00FA6D6D"/>
    <w:rsid w:val="00FA714C"/>
    <w:rsid w:val="00FB1527"/>
    <w:rsid w:val="00FC61C6"/>
    <w:rsid w:val="00FC6E5E"/>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2824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2</cp:revision>
  <dcterms:created xsi:type="dcterms:W3CDTF">2025-02-07T17:15:00Z</dcterms:created>
  <dcterms:modified xsi:type="dcterms:W3CDTF">2025-02-07T17:15:00Z</dcterms:modified>
</cp:coreProperties>
</file>